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A21F90" w:rsidP="00D5006E">
      <w:pPr>
        <w:jc w:val="center"/>
        <w:rPr>
          <w:rFonts w:asciiTheme="minorHAnsi" w:hAnsiTheme="minorHAnsi"/>
          <w:b/>
          <w:sz w:val="24"/>
          <w:szCs w:val="18"/>
        </w:rPr>
      </w:pPr>
      <w:r w:rsidRPr="00124A6E">
        <w:rPr>
          <w:rFonts w:asciiTheme="minorHAnsi" w:hAnsiTheme="minorHAnsi" w:cs="Titillium-Thin"/>
          <w:b/>
          <w:color w:val="auto"/>
          <w:sz w:val="24"/>
          <w:szCs w:val="24"/>
          <w:lang w:eastAsia="tr-TR"/>
        </w:rPr>
        <w:t xml:space="preserve">DİN KÜLTÜRÜ VE AHLAK BİLGİSİ </w:t>
      </w:r>
      <w:r w:rsidRPr="00124A6E">
        <w:rPr>
          <w:rFonts w:asciiTheme="minorHAnsi" w:hAnsiTheme="minorHAnsi" w:cs="Arial"/>
          <w:b/>
          <w:color w:val="auto"/>
          <w:sz w:val="24"/>
          <w:szCs w:val="24"/>
        </w:rPr>
        <w:t xml:space="preserve">DERSİ </w:t>
      </w:r>
      <w:r w:rsidR="00A97C74">
        <w:rPr>
          <w:rFonts w:asciiTheme="minorHAnsi" w:hAnsiTheme="minorHAnsi"/>
          <w:b/>
          <w:sz w:val="24"/>
          <w:szCs w:val="18"/>
        </w:rPr>
        <w:t>10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A97C74" w:rsidRPr="003D4863" w:rsidTr="00EA3102">
        <w:trPr>
          <w:cantSplit/>
          <w:trHeight w:val="1342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EA3102" w:rsidRDefault="00EA3102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 xml:space="preserve">10.1. ALLAH İNSAN </w:t>
            </w:r>
            <w:proofErr w:type="spellStart"/>
            <w:r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İLİŞKİSİ</w:t>
            </w:r>
            <w:r w:rsidR="00A97C74" w:rsidRPr="005A730F">
              <w:rPr>
                <w:rFonts w:asciiTheme="minorHAnsi" w:hAnsiTheme="minorHAnsi" w:cs="Titillium-Thin"/>
                <w:color w:val="0070C1"/>
                <w:szCs w:val="22"/>
                <w:lang w:eastAsia="tr-TR"/>
              </w:rPr>
              <w:t>Anahtar</w:t>
            </w:r>
            <w:proofErr w:type="spellEnd"/>
            <w:r w:rsidR="00A97C74" w:rsidRPr="005A730F">
              <w:rPr>
                <w:rFonts w:asciiTheme="minorHAnsi" w:hAnsiTheme="minorHAnsi" w:cs="Titillium-Thin"/>
                <w:color w:val="0070C1"/>
                <w:szCs w:val="22"/>
                <w:lang w:eastAsia="tr-TR"/>
              </w:rPr>
              <w:t xml:space="preserve"> Kavramlar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A3102">
              <w:rPr>
                <w:rFonts w:asciiTheme="minorHAnsi" w:hAnsiTheme="minorHAnsi" w:cs="Titillium-ThinItalic"/>
                <w:iCs/>
                <w:sz w:val="20"/>
                <w:szCs w:val="22"/>
                <w:lang w:eastAsia="tr-TR"/>
              </w:rPr>
              <w:t>Esmâ</w:t>
            </w:r>
            <w:proofErr w:type="spellEnd"/>
            <w:r w:rsidRPr="00EA3102">
              <w:rPr>
                <w:rFonts w:asciiTheme="minorHAnsi" w:hAnsiTheme="minorHAnsi" w:cs="Titillium-ThinItalic"/>
                <w:iCs/>
                <w:sz w:val="20"/>
                <w:szCs w:val="22"/>
                <w:lang w:eastAsia="tr-TR"/>
              </w:rPr>
              <w:t xml:space="preserve">-i </w:t>
            </w:r>
            <w:proofErr w:type="spellStart"/>
            <w:r w:rsidRPr="00EA3102">
              <w:rPr>
                <w:rFonts w:asciiTheme="minorHAnsi" w:hAnsiTheme="minorHAnsi" w:cs="Titillium-ThinItalic"/>
                <w:iCs/>
                <w:sz w:val="20"/>
                <w:szCs w:val="22"/>
                <w:lang w:eastAsia="tr-TR"/>
              </w:rPr>
              <w:t>Hüsnâ</w:t>
            </w:r>
            <w:proofErr w:type="spellEnd"/>
            <w:r w:rsidRPr="00EA3102">
              <w:rPr>
                <w:rFonts w:asciiTheme="minorHAnsi" w:hAnsiTheme="minorHAnsi" w:cs="Titillium-ThinItalic"/>
                <w:iCs/>
                <w:sz w:val="20"/>
                <w:szCs w:val="22"/>
                <w:lang w:eastAsia="tr-TR"/>
              </w:rPr>
              <w:t>, tilavet, kıraat, dua, tövbe, istiğfar.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10.1.1. Allah inancının insan hayatındaki yeri ve önemini yorumlar.</w:t>
            </w:r>
          </w:p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3D4863" w:rsidRDefault="00D60D38" w:rsidP="00A97C74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  <w:bookmarkStart w:id="0" w:name="_GoBack"/>
            <w:bookmarkEnd w:id="0"/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97C74" w:rsidRPr="003D4863" w:rsidTr="00EA3102">
        <w:trPr>
          <w:cantSplit/>
          <w:trHeight w:val="1121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10.1. ALLAH İNSAN İLİŞKİSİ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10.1.2. Allah’ın varlığı ve birliği konusunda akli ve naklî delilleri analiz eder.</w:t>
            </w:r>
          </w:p>
          <w:p w:rsidR="00A97C74" w:rsidRPr="005A730F" w:rsidRDefault="00A97C74" w:rsidP="00EA3102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A730F">
              <w:rPr>
                <w:rFonts w:asciiTheme="minorHAnsi" w:hAnsiTheme="minorHAnsi" w:cs="Arial"/>
                <w:sz w:val="20"/>
              </w:rPr>
              <w:t xml:space="preserve">* 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“Gaye ve nizam”, “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ekmel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 xml:space="preserve"> varlık” delilleri ile sınırlandırılır.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EA3102">
        <w:trPr>
          <w:cantSplit/>
          <w:trHeight w:val="1145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10.1. ALLAH İNSAN İLİŞKİSİ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10.1.3. İsim ve sıfatlarının yansımalarıyla Allah'ı tanır.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A730F">
              <w:rPr>
                <w:rFonts w:asciiTheme="minorHAnsi" w:hAnsiTheme="minorHAnsi" w:cs="Arial"/>
                <w:sz w:val="20"/>
              </w:rPr>
              <w:t xml:space="preserve">* 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 xml:space="preserve">Allah’ın isim ve sıfatlarını kavramanın, O’nu tanımadaki önemine değinilir; isim ve sıfatların kâinatta tecellisi üzerinde durulur. İsim ve sıfatlar, Allah insan ilişkisi bağlamında; Bakara suresi 255. ayet, 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Haşr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 xml:space="preserve"> suresi 22-24. ayetler ve İhlâs suresi kapsamında işlenir.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10.1. ALLAH İNSAN İLİŞKİSİ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10.1.3. İsim ve sıfatlarının yansımalarıyla Allah'ı tanır.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A730F">
              <w:rPr>
                <w:rFonts w:asciiTheme="minorHAnsi" w:hAnsiTheme="minorHAnsi" w:cs="Arial"/>
                <w:sz w:val="20"/>
              </w:rPr>
              <w:t xml:space="preserve">* 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 xml:space="preserve">Allah’ın isim ve sıfatlarını kavramanın, O’nu tanımadaki önemine değinilir; isim ve sıfatların kâinatta tecellisi üzerinde durulur. İsim ve sıfatlar, Allah insan ilişkisi bağlamında; Bakara suresi 255. ayet, 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Haşr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 xml:space="preserve"> suresi 22-24. ayetler ve İhlâs suresi kapsamında işlenir.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10.1. ALLAH İNSAN İLİŞKİSİ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10.1.4. İnsanın özelliklerini ayetlerle açıklar.</w:t>
            </w:r>
          </w:p>
          <w:p w:rsidR="00A97C74" w:rsidRPr="005A730F" w:rsidRDefault="00A97C74" w:rsidP="00EA3102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 w:rsidRPr="005A730F">
              <w:rPr>
                <w:rFonts w:asciiTheme="minorHAnsi" w:hAnsiTheme="minorHAnsi" w:cs="Arial"/>
                <w:sz w:val="20"/>
              </w:rPr>
              <w:t xml:space="preserve">* 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Kazanım kapsamında insanın olumlu özellikleri öne çıkarılır.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EA3102">
        <w:trPr>
          <w:cantSplit/>
          <w:trHeight w:val="754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10.1. ALLAH İNSAN İLİŞKİSİ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10.1.5. İnsanın Allah ile irtibat yollarını fark eder.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 w:rsidRPr="005A730F">
              <w:rPr>
                <w:rFonts w:asciiTheme="minorHAnsi" w:hAnsiTheme="minorHAnsi" w:cs="Arial"/>
                <w:sz w:val="20"/>
              </w:rPr>
              <w:t xml:space="preserve">* 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Kazanım; dua, ibadet, Kur’an okuma, tövbe ve istiğfar konuları ile sınırlandırılır.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EA310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EA31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231F5C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10.1. ALLAH İNSAN İLİŞKİSİ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 w:rsidRPr="005A730F">
              <w:rPr>
                <w:rFonts w:asciiTheme="minorHAnsi" w:hAnsiTheme="minorHAnsi" w:cs="Arial"/>
                <w:sz w:val="20"/>
              </w:rPr>
              <w:t xml:space="preserve">* 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Allah ile insan arasındaki ilişkinin dayandığı temel ilkelere yer verilir; temel ilkeler Yaradan-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yaradılan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 xml:space="preserve"> ilişkisi çerçevesinde ele alınır; Allah’ın “ilah” ve “rab” olma vasfının insan üzerindeki etkisine değinilir.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A97C74" w:rsidRPr="003D4863" w:rsidTr="009910A8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A97C74" w:rsidRPr="00ED0E2F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A97C74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A97C74" w:rsidRPr="00705323" w:rsidRDefault="00A97C74" w:rsidP="00A97C74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70532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10.1. ALLAH İNSAN İLİŞKİSİ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 xml:space="preserve">10.1.6.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Rûm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 suresi 18-27. ayetlerde verilen mesajları değerlendirir.</w:t>
            </w:r>
          </w:p>
          <w:p w:rsidR="00A97C74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 w:rsidRPr="005A730F">
              <w:rPr>
                <w:rFonts w:asciiTheme="minorHAnsi" w:hAnsiTheme="minorHAnsi" w:cs="Arial"/>
                <w:sz w:val="20"/>
              </w:rPr>
              <w:t xml:space="preserve">* 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Kazanım; öğrencilerin Kur’an-ı Kerim mealini kullanma, Kur’an-ı Kerim’i anlama ve yorumlama, ayetlerde geçen şahıs, yer, konu ve kavramları belirleme becerilerini geliştirici etkinliklerle desteklenir. Bu kapsamda ayetlerin (nüzul sebebi, ana konuları gibi) kısa açıklamalarına öğrenci seviyesine göre yer verilir.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2052FB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A97C74" w:rsidRPr="00922FEB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A97C74" w:rsidRPr="00922FEB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A97C74" w:rsidRPr="00922FEB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10.1. ALLAH İNSAN İLİŞKİSİ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 xml:space="preserve">10.1.6.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Rûm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 suresi 18-27. ayetlerde verilen mesajları değerlendirir.</w:t>
            </w:r>
          </w:p>
          <w:p w:rsidR="00A97C74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 w:rsidRPr="005A730F">
              <w:rPr>
                <w:rFonts w:asciiTheme="minorHAnsi" w:hAnsiTheme="minorHAnsi" w:cs="Arial"/>
                <w:sz w:val="20"/>
              </w:rPr>
              <w:t xml:space="preserve">* 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Kazanım; öğrencilerin Kur’an-ı Kerim mealini kullanma, Kur’an-ı Kerim’i anlama ve yorumlama, ayetlerde geçen şahıs, yer, konu ve kavramları belirleme becerilerini geliştirici etkinliklerle desteklenir. Bu kapsamda ayetlerin (nüzul sebebi, ana konuları gibi) kısa açıklamalarına öğrenci seviyesine göre yer verilir.</w:t>
            </w:r>
          </w:p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3D4863" w:rsidRDefault="00A97C74" w:rsidP="00A97C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10A8" w:rsidRPr="003D4863" w:rsidTr="009910A8">
        <w:trPr>
          <w:cantSplit/>
          <w:trHeight w:val="179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9910A8" w:rsidRPr="0076468E" w:rsidRDefault="009910A8" w:rsidP="009910A8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</w:p>
          <w:p w:rsidR="009910A8" w:rsidRPr="00D43C5B" w:rsidRDefault="009910A8" w:rsidP="009910A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Cuma</w:t>
            </w:r>
          </w:p>
          <w:p w:rsidR="009910A8" w:rsidRPr="003D4863" w:rsidRDefault="009910A8" w:rsidP="009910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A97C74" w:rsidRPr="003D4863" w:rsidTr="00EA3102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10.2. HZ. MUHAMMED VE GENÇLİK</w:t>
            </w:r>
          </w:p>
          <w:p w:rsidR="00A97C74" w:rsidRPr="00EA3102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color w:val="0070C1"/>
                <w:sz w:val="20"/>
                <w:szCs w:val="22"/>
                <w:lang w:eastAsia="tr-TR"/>
              </w:rPr>
            </w:pPr>
            <w:r w:rsidRPr="00EA3102">
              <w:rPr>
                <w:rFonts w:asciiTheme="minorHAnsi" w:hAnsiTheme="minorHAnsi" w:cs="Titillium-Thin"/>
                <w:color w:val="0070C1"/>
                <w:sz w:val="20"/>
                <w:szCs w:val="22"/>
                <w:lang w:eastAsia="tr-TR"/>
              </w:rPr>
              <w:t>Anahtar Kavramlar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proofErr w:type="spellStart"/>
            <w:r w:rsidRPr="00EA3102">
              <w:rPr>
                <w:rFonts w:asciiTheme="minorHAnsi" w:hAnsiTheme="minorHAnsi" w:cs="Titillium-ThinItalic"/>
                <w:iCs/>
                <w:sz w:val="20"/>
                <w:szCs w:val="22"/>
                <w:lang w:eastAsia="tr-TR"/>
              </w:rPr>
              <w:t>sahabi</w:t>
            </w:r>
            <w:proofErr w:type="spellEnd"/>
            <w:r w:rsidRPr="00EA3102">
              <w:rPr>
                <w:rFonts w:asciiTheme="minorHAnsi" w:hAnsiTheme="minorHAnsi" w:cs="Titillium-ThinItalic"/>
                <w:iCs/>
                <w:sz w:val="20"/>
                <w:szCs w:val="22"/>
                <w:lang w:eastAsia="tr-TR"/>
              </w:rPr>
              <w:t>, âlim, el-emin, istişare.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  <w:t>10.2.1. Kur’an-ı Kerim’den gençlerle ilgili ayetlere örnekler verir.</w:t>
            </w:r>
          </w:p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2052FB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EA3102">
        <w:trPr>
          <w:cantSplit/>
          <w:trHeight w:val="988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10.2. HZ. MUHAMMED VE GENÇLİK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  <w:t>10.2.2. Hz. Muhammed'in gençlik yıllarındaki erdemli davranışlarını kendi hayatıyla ilişkilendirir.</w:t>
            </w:r>
          </w:p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10.2. HZ. MUHAMMED VE GENÇLİK</w:t>
            </w:r>
          </w:p>
          <w:p w:rsidR="00A97C74" w:rsidRPr="005A730F" w:rsidRDefault="00A97C74" w:rsidP="00A97C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  <w:t xml:space="preserve">10.2.3. Hz. Muhammed ile genç </w:t>
            </w:r>
            <w:proofErr w:type="spellStart"/>
            <w:r w:rsidRPr="005A730F"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  <w:t>sahabiler</w:t>
            </w:r>
            <w:proofErr w:type="spellEnd"/>
            <w:r w:rsidRPr="005A730F"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  <w:t xml:space="preserve"> arasındaki iletişimi değerlendirir.</w:t>
            </w:r>
          </w:p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EA3102">
        <w:trPr>
          <w:cantSplit/>
          <w:trHeight w:val="1114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10.2. HZ. MUHAMMED VE GENÇLİK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  <w:t xml:space="preserve">10.2.3. Hz. Muhammed ile genç </w:t>
            </w:r>
            <w:proofErr w:type="spellStart"/>
            <w:r w:rsidRPr="005A730F"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  <w:t>sahabiler</w:t>
            </w:r>
            <w:proofErr w:type="spellEnd"/>
            <w:r w:rsidRPr="005A730F">
              <w:rPr>
                <w:rFonts w:asciiTheme="minorHAnsi" w:hAnsiTheme="minorHAnsi" w:cs="Titillium-Thin"/>
                <w:b/>
                <w:color w:val="auto"/>
                <w:szCs w:val="22"/>
                <w:lang w:eastAsia="tr-TR"/>
              </w:rPr>
              <w:t xml:space="preserve"> arasındaki iletişimi değerlendirir.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EA3102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EA310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10.2. HZ. MUHAMMED VE GENÇLİK</w:t>
            </w:r>
          </w:p>
          <w:p w:rsidR="00A97C74" w:rsidRPr="005A730F" w:rsidRDefault="00A97C74" w:rsidP="00A97C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 xml:space="preserve">10.2.4. Bazı genç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sahabilerin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 öne çıkan özelliklerini örnek alır.</w:t>
            </w:r>
          </w:p>
          <w:p w:rsidR="00A97C74" w:rsidRPr="005A730F" w:rsidRDefault="00A97C74" w:rsidP="00EA3102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gramStart"/>
            <w:r w:rsidRPr="001B6E2D">
              <w:rPr>
                <w:rFonts w:asciiTheme="minorHAnsi" w:hAnsiTheme="minorHAnsi" w:cs="Arial"/>
                <w:sz w:val="20"/>
              </w:rPr>
              <w:t xml:space="preserve">** “Bilge ve Kahraman Bir Genç: Hz. Ali”, “Genç Bir Davetçi: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Erkam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 b.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Ebi’l-Erkam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”, “Genç Bir Öğretmen: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Mus'ab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 b.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Umeyr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”, “Genç Bir Komutan: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Üsame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 b.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Zeyd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”, “Genç Bir Yönetici: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Muaz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 b. Cebel”, “Genç Bir Âlim: Hz.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Aişe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”, “Genç Bir Anne: Hz. Fatıma”, “Sorumluluk Sahibi Bir Genç: Esma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bintiEbi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 xml:space="preserve"> Bekir”, “Habeş Kralının Huzurunda Bir Genç: Cafer b. </w:t>
            </w:r>
            <w:proofErr w:type="spellStart"/>
            <w:r w:rsidRPr="001B6E2D">
              <w:rPr>
                <w:rFonts w:asciiTheme="minorHAnsi" w:hAnsiTheme="minorHAnsi" w:cs="Arial"/>
                <w:sz w:val="20"/>
              </w:rPr>
              <w:t>EbiTalib</w:t>
            </w:r>
            <w:proofErr w:type="spellEnd"/>
            <w:r w:rsidRPr="001B6E2D">
              <w:rPr>
                <w:rFonts w:asciiTheme="minorHAnsi" w:hAnsiTheme="minorHAnsi" w:cs="Arial"/>
                <w:sz w:val="20"/>
              </w:rPr>
              <w:t>” konularına yer verilir.</w:t>
            </w:r>
            <w:proofErr w:type="gramEnd"/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10.2. HZ. MUHAMMED VE GENÇLİK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 xml:space="preserve">10.2.5.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Âl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-i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İmrân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 suresi 159. ayette verilen mesajları değerlendirir.</w:t>
            </w:r>
          </w:p>
          <w:p w:rsidR="00A97C74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sz w:val="20"/>
              </w:rPr>
              <w:t xml:space="preserve"> Kazanım; öğrencilerin Kur’an-ı Kerim mealini kullanma, Kur’an-ı Kerim’i anlama ve yorumlama, ayetlerde geçen şahıs, yer, konu ve kavramları belirleme becerilerini geliştirici etkinliklerle desteklenir. Bu kapsamda ayetlerin (nüzul sebebi, ana konuları gibi) kısa açıklamalarına öğrenci seviyesine göre yer verilir.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10.2. HZ. MUHAMMED VE GENÇLİK</w:t>
            </w:r>
          </w:p>
          <w:p w:rsidR="00A97C74" w:rsidRPr="005A730F" w:rsidRDefault="00A97C74" w:rsidP="00A97C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 xml:space="preserve">10.2.5.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Âl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-i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İmrân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 suresi 159. ayette verilen mesajları değerlendirir.</w:t>
            </w:r>
          </w:p>
          <w:p w:rsidR="00A97C74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sz w:val="20"/>
              </w:rPr>
              <w:t xml:space="preserve"> Kazanım; öğrencilerin Kur’an-ı Kerim mealini kullanma, Kur’an-ı Kerim’i anlama ve yorumlama, ayetlerde geçen şahıs, yer, konu ve kavramları belirleme becerilerini geliştirici etkinliklerle desteklenir. Bu kapsamda ayetlerin (nüzul sebebi, ana konuları gibi) kısa açıklamalarına öğrenci seviyesine göre yer verilir.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C223A4" w:rsidRDefault="00A97C74" w:rsidP="00A97C7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A97C74" w:rsidRPr="003D4863" w:rsidRDefault="00A97C74" w:rsidP="00A97C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A97C74" w:rsidRPr="003D4863" w:rsidTr="009910A8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A97C74" w:rsidRPr="00705323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A97C74" w:rsidRPr="00705323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A97C74" w:rsidRPr="00705323" w:rsidRDefault="00A97C74" w:rsidP="00A97C7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A97C74" w:rsidRPr="00705323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10.3. DİN VE HAYAT</w:t>
            </w:r>
          </w:p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color w:val="0070C1"/>
                <w:szCs w:val="22"/>
                <w:lang w:eastAsia="tr-TR"/>
              </w:rPr>
            </w:pPr>
            <w:r w:rsidRPr="005A730F">
              <w:rPr>
                <w:rFonts w:asciiTheme="minorHAnsi" w:hAnsiTheme="minorHAnsi" w:cs="Titillium-Thin"/>
                <w:color w:val="0070C1"/>
                <w:szCs w:val="22"/>
                <w:lang w:eastAsia="tr-TR"/>
              </w:rPr>
              <w:t>Anahtar Kavramlar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proofErr w:type="gramStart"/>
            <w:r w:rsidRPr="005A730F">
              <w:rPr>
                <w:rFonts w:asciiTheme="minorHAnsi" w:hAnsiTheme="minorHAnsi" w:cs="Titillium-ThinItalic"/>
                <w:iCs/>
                <w:szCs w:val="22"/>
                <w:lang w:eastAsia="tr-TR"/>
              </w:rPr>
              <w:t>din</w:t>
            </w:r>
            <w:proofErr w:type="gramEnd"/>
            <w:r w:rsidRPr="005A730F">
              <w:rPr>
                <w:rFonts w:asciiTheme="minorHAnsi" w:hAnsiTheme="minorHAnsi" w:cs="Titillium-ThinItalic"/>
                <w:iCs/>
                <w:szCs w:val="22"/>
                <w:lang w:eastAsia="tr-TR"/>
              </w:rPr>
              <w:t>, sanat, iktisat, sosyal değişim.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10.3.1. İslam dininin aile kurumuna verdiği önemi fark eder.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A97C74" w:rsidRPr="0097173C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A97C74" w:rsidRPr="0097173C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A97C74" w:rsidRPr="0097173C" w:rsidRDefault="00A97C74" w:rsidP="00A97C7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A97C74" w:rsidRPr="0097173C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10.3. DİN VE HAYAT</w:t>
            </w:r>
          </w:p>
          <w:p w:rsidR="00A97C74" w:rsidRPr="005A730F" w:rsidRDefault="00A97C74" w:rsidP="00A97C7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10.3.2. İslam dininin kültür, sanat ve düşünce üzerindeki etkilerini analiz eder.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 xml:space="preserve">İslam dininin kültürel hayatımızın zenginleşmesindeki katkılarına ve İslam medeniyetinde öne çıkan sanat dallarına kısaca yer verilir. Ayrıca “ Eşyada asıl olan 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ibahadır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>.” ilkesinin sanat alanında da geçerli olduğuna değinilir.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C223A4" w:rsidRDefault="00A97C74" w:rsidP="00A97C74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A97C74" w:rsidRPr="00C223A4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10A8" w:rsidRPr="003D4863" w:rsidTr="009910A8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9910A8" w:rsidRDefault="009910A8" w:rsidP="009910A8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 xml:space="preserve">23-2024 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EĞİTİM-ÖĞRETİM YILI </w:t>
            </w:r>
          </w:p>
          <w:p w:rsidR="009910A8" w:rsidRPr="00221493" w:rsidRDefault="009910A8" w:rsidP="009910A8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9910A8" w:rsidRPr="003D4863" w:rsidRDefault="009910A8" w:rsidP="009910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</w:t>
            </w:r>
            <w:proofErr w:type="gramStart"/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: 5</w:t>
            </w:r>
            <w:proofErr w:type="gramEnd"/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A97C74" w:rsidRPr="003D4863" w:rsidTr="009910A8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A97C74" w:rsidRPr="009D2146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A97C74" w:rsidRPr="009D2146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A97C74" w:rsidRPr="009D2146" w:rsidRDefault="00A97C74" w:rsidP="00A97C7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A97C74" w:rsidRPr="009D2146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10.3. DİN VE HAYAT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10.3.3. İslam dininin çevre sorunlarına yaklaşımını ve çözüm önerilerini değerlendirir.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3D4863" w:rsidRDefault="00A97C74" w:rsidP="00A97C74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10.3. DİN VE HAYAT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10.3.4. İslam dini ve sosyal değişim arasında ilişki kurar.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Dinin sabiteleri ve değişkenleri üzerinde durulur; bazı dinî hüküm ve yorumların zamana ve mekâna göre değişebileceğine değinilir.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10.3. DİN VE HAYAT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10.3.5. İslam dininin ekonomik hayatla ilgili ilkelerini yorumlar.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EA3102">
        <w:trPr>
          <w:cantSplit/>
          <w:trHeight w:val="1081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10.3. DİN VE HAYAT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10.3.6. İslam dininin sosyal adaletle ilgili ilkelerini açıklar.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10.3. DİN VE HAYAT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 xml:space="preserve">10.3.7.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Âl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-i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İmrân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 suresi 103-105. ayetlerdeki mesajları değerlendirir.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Kazanım; öğrencilerin Kur’an-ı Kerim mealini kullanma, Kur’an-ı Kerim’i anlama ve yorumlama, ayetlerde geçen şahıs, yer, konu ve kavramları belirleme becerilerini geliştirici etkinliklerle desteklenir. Bu kapsamda ayetlerin (nüzul sebebi, ana konuları gibi) kısa açıklamalarına öğrenci seviyesine göre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10.4. AHLAKİ TUTUM VE DAVRANIŞLAR</w:t>
            </w:r>
          </w:p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color w:val="0070C1"/>
                <w:szCs w:val="22"/>
                <w:lang w:eastAsia="tr-TR"/>
              </w:rPr>
            </w:pPr>
            <w:r w:rsidRPr="005A730F">
              <w:rPr>
                <w:rFonts w:asciiTheme="minorHAnsi" w:hAnsiTheme="minorHAnsi" w:cs="Titillium-Thin"/>
                <w:color w:val="0070C1"/>
                <w:szCs w:val="22"/>
                <w:lang w:eastAsia="tr-TR"/>
              </w:rPr>
              <w:t>Anahtar Kavramlar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gramStart"/>
            <w:r w:rsidRPr="005A730F">
              <w:rPr>
                <w:rFonts w:asciiTheme="minorHAnsi" w:hAnsiTheme="minorHAnsi" w:cs="Titillium-ThinItalic"/>
                <w:iCs/>
                <w:szCs w:val="22"/>
                <w:lang w:eastAsia="tr-TR"/>
              </w:rPr>
              <w:t>ahlak</w:t>
            </w:r>
            <w:proofErr w:type="gramEnd"/>
            <w:r w:rsidRPr="005A730F">
              <w:rPr>
                <w:rFonts w:asciiTheme="minorHAnsi" w:hAnsiTheme="minorHAnsi" w:cs="Titillium-ThinItalic"/>
                <w:iCs/>
                <w:szCs w:val="22"/>
                <w:lang w:eastAsia="tr-TR"/>
              </w:rPr>
              <w:t>, seciye, şahsiyet, karakter, terbiye.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10.4.1. İslam ahlakının konusu ve gayesini açıklar.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231F5C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A97C74" w:rsidRPr="00231F5C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A97C74" w:rsidRPr="003D4863" w:rsidTr="009910A8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10.4. AHLAKİ TUTUM VE DAVRANIŞLAR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10.4.2. Ahlak ile terbiye arasındaki ilişki kurar.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Duygu yönetimi, düşünce yönetimi, davranış yönetimi, irade yönetimi gibi konular ayet ve hadislerle ilişkilendirilerek ele alınır.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705323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A97C74" w:rsidRPr="00705323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A97C74" w:rsidRPr="00705323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70532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10.4. AHLAKİ TUTUM VE DAVRANIŞLAR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10.4.3. İslam ahlakında yerilen bazı davranışları ayet ve hadislerle açıklar.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Kazanım kapsamında yalan ve iftira, mahremiyetin ihlali (tecessüs), gıybet, haset, suizan, hile ve israf konularına değinilir.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A97C74" w:rsidRPr="008014A4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10.4. AHLAKİ TUTUM VE DAVRANIŞLAR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Öğrencilerin İslam ahlakında yerilen bazı davranışların, bireysel ve toplumsal zararlarını değerlendirmelerine yönelik etkinliklere yer verilir.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CE0814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10A8" w:rsidRPr="003D4863" w:rsidTr="009910A8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9910A8" w:rsidRPr="003D4863" w:rsidRDefault="009910A8" w:rsidP="009910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9910A8" w:rsidRPr="00915D1E" w:rsidRDefault="009910A8" w:rsidP="009910A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9910A8" w:rsidRPr="003D4863" w:rsidRDefault="009910A8" w:rsidP="009910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15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97173C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A97C74" w:rsidRPr="008014A4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A97C74" w:rsidRPr="0097173C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10.4. AHLAKİ TUTUM VE DAVRANIŞLAR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10.4.4.Tutum ve davranışlarında ölçülü olmaya özen gösterir.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C223A4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10.4. AHLAKİ TUTUM VE DAVRANIŞLAR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 xml:space="preserve">10.4.5.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Hucurât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 suresi 11-12. ayetlerde verilen mesajları değerlendirir.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Kazanım; öğrencilerin Kur’an-ı Kerim mealini kullanma, Kur’an-ı Kerim’i anlama ve yorumlama, ayetlerde geçen şahıs, yer, konu ve kavramları belirleme becerilerini geliştirici etkinliklerle desteklenir. Bu kapsamda ayetlerin (nüzul sebebi, ana konuları gibi) kısa açıklamalarına öğrenci seviyesine göre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CE0814" w:rsidRDefault="00A97C74" w:rsidP="00A97C74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10.5. İSLAM DÜŞÜNCESİNDE İTİKADİ, SİYASİ VE FIKHİ YORUMLAR</w:t>
            </w:r>
          </w:p>
          <w:p w:rsidR="00A97C74" w:rsidRPr="005A730F" w:rsidRDefault="00A97C74" w:rsidP="00A97C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tillium-Thin"/>
                <w:color w:val="0070C1"/>
                <w:szCs w:val="22"/>
                <w:lang w:eastAsia="tr-TR"/>
              </w:rPr>
            </w:pPr>
            <w:r w:rsidRPr="005A730F">
              <w:rPr>
                <w:rFonts w:asciiTheme="minorHAnsi" w:hAnsiTheme="minorHAnsi" w:cs="Titillium-Thin"/>
                <w:color w:val="0070C1"/>
                <w:szCs w:val="22"/>
                <w:lang w:eastAsia="tr-TR"/>
              </w:rPr>
              <w:t>Anahtar Kavramlar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proofErr w:type="spellStart"/>
            <w:r w:rsidRPr="005A730F">
              <w:rPr>
                <w:rFonts w:asciiTheme="minorHAnsi" w:hAnsiTheme="minorHAnsi" w:cs="Titillium-ThinItalic"/>
                <w:iCs/>
                <w:szCs w:val="22"/>
                <w:lang w:eastAsia="tr-TR"/>
              </w:rPr>
              <w:t>itikad</w:t>
            </w:r>
            <w:proofErr w:type="spellEnd"/>
            <w:r w:rsidRPr="005A730F">
              <w:rPr>
                <w:rFonts w:asciiTheme="minorHAnsi" w:hAnsiTheme="minorHAnsi" w:cs="Titillium-ThinItalic"/>
                <w:iCs/>
                <w:szCs w:val="22"/>
                <w:lang w:eastAsia="tr-TR"/>
              </w:rPr>
              <w:t>, mezhep, fırka, tevil.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10.5.1. Din ve dinin yorumu arasındaki farkı ayırt eder.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Dinin farklı yorum biçimleri olabileceğine vurgu yapılır; dinin yanlış yorumlanmasından doğan sorunların, dinin kendisinden kaynaklanmadığına değinilir.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3D4863" w:rsidRDefault="00A97C74" w:rsidP="00A97C74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10.5. İSLAM DÜŞÜNCESİNDE İTİKADİ, SİYASİ VE FIKHİ YORUMLAR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Din anlayışındaki yorum farklılıklarının sebepleri düzeye uygun bir biçimde ayrıntıya girilmeden ele alınır.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CE0814" w:rsidRDefault="00A97C74" w:rsidP="00A97C74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10.5. İSLAM DÜŞÜNCESİNDE İTİKADİ, SİYASİ VE FIKHİ YORUMLAR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10.5.2. İslam düşüncesindeki yorum farklılıklarının sebeplerini tartışır.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Yorum farklılıkları; insan unsuru; sosyal, siyasi, kültürel ve coğrafi ortam ile dinî metinlere yaklaşım ve onları yorumlama farklılıklarından kaynaklanan sebepler ile sınırlandırılır.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10.5. İSLAM DÜŞÜNCESİNDE İTİKADİ, SİYASİ VE FIKHİ YORUMLAR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10.5.3. Dinî yorumlarla ilgili bazı kavramları değerlendirir.</w:t>
            </w:r>
          </w:p>
          <w:p w:rsidR="00A97C74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İtikad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>, fıkıh, mezhep ve fırka kavramları öğrencilerin seviyeleri ve kültürel altyapıları göz önünde bulundurularak ele alınır.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A97C74" w:rsidRPr="003D4863" w:rsidTr="009910A8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A97C74" w:rsidRDefault="00A97C74" w:rsidP="00A97C7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10.5. İSLAM DÜŞÜNCESİNDE İTİKADİ, SİYASİ VE FIKHİ YORUMLAR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 xml:space="preserve">10.5.4. İslam düşüncesinde </w:t>
            </w:r>
            <w:proofErr w:type="spellStart"/>
            <w:r w:rsidRPr="005A730F">
              <w:rPr>
                <w:rFonts w:asciiTheme="minorHAnsi" w:hAnsiTheme="minorHAnsi" w:cs="Arial"/>
                <w:b/>
                <w:sz w:val="20"/>
              </w:rPr>
              <w:t>itikadi</w:t>
            </w:r>
            <w:proofErr w:type="spellEnd"/>
            <w:r w:rsidRPr="005A730F">
              <w:rPr>
                <w:rFonts w:asciiTheme="minorHAnsi" w:hAnsiTheme="minorHAnsi" w:cs="Arial"/>
                <w:b/>
                <w:sz w:val="20"/>
              </w:rPr>
              <w:t xml:space="preserve"> ve siyasi yorumları genel özelliklerine göre sınıflandırır.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 xml:space="preserve">Kazanım 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Ehl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>-i sünnet (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Eşarilik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 xml:space="preserve"> ve 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Maturidilik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>) ve Şia (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İmamiye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 xml:space="preserve"> ve 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Zeydiye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>) ile sınırlandırılır.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HAZİRAN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97C74" w:rsidRPr="003D4863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10.5. İSLAM DÜŞÜNCESİNDE İTİKADİ, SİYASİ VE FIKHİ YORUMLAR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10.5.5. İslam düşüncesindeki amelî fıkhi yorumları tanır.</w:t>
            </w:r>
          </w:p>
          <w:p w:rsidR="00A97C74" w:rsidRDefault="00A97C74" w:rsidP="00A97C74">
            <w:pPr>
              <w:spacing w:after="0" w:line="240" w:lineRule="auto"/>
              <w:rPr>
                <w:rFonts w:asciiTheme="minorHAnsi" w:hAnsiTheme="minorHAnsi" w:cs="Arial"/>
                <w:iCs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 xml:space="preserve">İslam düşüncesindeki amelî fıkhi yorumlarda; Hanefilik, Malikilik, Şafiilik ve 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Hanbelilik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 xml:space="preserve"> mezheplerine yer verilir. Ayrıca Caferilik mezhebine de değinilir, bu mezhebin </w:t>
            </w:r>
            <w:proofErr w:type="spellStart"/>
            <w:r w:rsidRPr="005A730F">
              <w:rPr>
                <w:rFonts w:asciiTheme="minorHAnsi" w:hAnsiTheme="minorHAnsi" w:cs="Arial"/>
                <w:iCs/>
                <w:sz w:val="20"/>
              </w:rPr>
              <w:t>İmamiyeŞiası’nın</w:t>
            </w:r>
            <w:proofErr w:type="spellEnd"/>
            <w:r w:rsidRPr="005A730F">
              <w:rPr>
                <w:rFonts w:asciiTheme="minorHAnsi" w:hAnsiTheme="minorHAnsi" w:cs="Arial"/>
                <w:iCs/>
                <w:sz w:val="20"/>
              </w:rPr>
              <w:t xml:space="preserve"> ameli/fıkhi yorumu olduğuna vurgu yapılır.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97C74" w:rsidRPr="003D4863" w:rsidTr="009910A8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A97C74" w:rsidRPr="00A63BE5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A97C74" w:rsidRPr="00A63BE5" w:rsidRDefault="00A97C74" w:rsidP="00A97C74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A97C74" w:rsidRDefault="00A97C74" w:rsidP="00A97C74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A97C74" w:rsidRDefault="00A97C74" w:rsidP="00A97C7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</w:pPr>
            <w:r w:rsidRPr="005A730F">
              <w:rPr>
                <w:rFonts w:asciiTheme="minorHAnsi" w:hAnsiTheme="minorHAnsi" w:cs="Titillium-Thin"/>
                <w:b/>
                <w:color w:val="FF0000"/>
                <w:sz w:val="24"/>
                <w:szCs w:val="24"/>
                <w:lang w:eastAsia="tr-TR"/>
              </w:rPr>
              <w:t>10.5. İSLAM DÜŞÜNCESİNDE İTİKADİ, SİYASİ VE FIKHİ YORUMLAR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6096" w:type="dxa"/>
            <w:vAlign w:val="center"/>
          </w:tcPr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b/>
                <w:sz w:val="20"/>
              </w:rPr>
            </w:pPr>
            <w:r w:rsidRPr="005A730F">
              <w:rPr>
                <w:rFonts w:asciiTheme="minorHAnsi" w:hAnsiTheme="minorHAnsi" w:cs="Arial"/>
                <w:b/>
                <w:sz w:val="20"/>
              </w:rPr>
              <w:t>10.5.6. Nisâ suresi 59. ayette verilen mesajları değerlendirir.</w:t>
            </w:r>
          </w:p>
          <w:p w:rsidR="00A97C74" w:rsidRPr="005A730F" w:rsidRDefault="00A97C74" w:rsidP="00A97C74">
            <w:pPr>
              <w:spacing w:after="0"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**</w:t>
            </w:r>
            <w:r w:rsidRPr="005A730F">
              <w:rPr>
                <w:rFonts w:asciiTheme="minorHAnsi" w:hAnsiTheme="minorHAnsi" w:cs="Arial"/>
                <w:iCs/>
                <w:sz w:val="20"/>
              </w:rPr>
              <w:t>Kazanım; öğrencilerin Kur’an-ı Kerim mealini kullanma, Kur’an-ı Kerim’i anlama ve yorumlama, ayetlerde geçen şahıs, yer, konu ve kavramları belirleme becerilerini geliştirici etkinliklerle desteklenir. Bu kapsamda ayetlerin (nüzul sebebi, ana konuları gibi) kısa açıklamalarına öğrenci seviyesine göre yer verilir.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97C74" w:rsidRDefault="00A97C74" w:rsidP="00A97C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A97C74" w:rsidRPr="003D4863" w:rsidRDefault="00A97C74" w:rsidP="00A97C74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A21F90" w:rsidP="00AF0802">
      <w:pPr>
        <w:spacing w:after="0"/>
        <w:rPr>
          <w:rFonts w:asciiTheme="minorHAnsi" w:hAnsiTheme="minorHAnsi"/>
          <w:sz w:val="24"/>
          <w:szCs w:val="18"/>
        </w:rPr>
      </w:pPr>
      <w:r w:rsidRPr="00230919">
        <w:rPr>
          <w:rFonts w:asciiTheme="minorHAnsi" w:hAnsiTheme="minorHAnsi" w:cs="Titillium-Thin"/>
          <w:color w:val="auto"/>
          <w:sz w:val="24"/>
          <w:szCs w:val="24"/>
          <w:lang w:eastAsia="tr-TR"/>
        </w:rPr>
        <w:t xml:space="preserve">Din Kültürü Ve Ahlak Bilgisi </w:t>
      </w:r>
      <w:r w:rsidRPr="00230919">
        <w:rPr>
          <w:rFonts w:asciiTheme="minorHAnsi" w:hAnsiTheme="minorHAnsi" w:cs="Arial"/>
          <w:color w:val="auto"/>
          <w:sz w:val="24"/>
          <w:szCs w:val="24"/>
        </w:rPr>
        <w:t>Dersi</w:t>
      </w:r>
      <w:r>
        <w:rPr>
          <w:rFonts w:asciiTheme="minorHAnsi" w:hAnsiTheme="minorHAnsi"/>
          <w:sz w:val="24"/>
          <w:szCs w:val="18"/>
        </w:rPr>
        <w:t xml:space="preserve"> </w:t>
      </w:r>
      <w:r w:rsidRPr="003D4863">
        <w:rPr>
          <w:rFonts w:asciiTheme="minorHAnsi" w:hAnsiTheme="minorHAnsi"/>
          <w:sz w:val="24"/>
          <w:szCs w:val="18"/>
        </w:rPr>
        <w:t xml:space="preserve">Öğretmeni                                    </w:t>
      </w:r>
      <w:r>
        <w:rPr>
          <w:rFonts w:asciiTheme="minorHAnsi" w:hAnsiTheme="minorHAnsi"/>
          <w:sz w:val="24"/>
          <w:szCs w:val="18"/>
        </w:rPr>
        <w:t xml:space="preserve">                                            </w:t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tillium-Thin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Titillium-ThinItalic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15D1E"/>
    <w:rsid w:val="00922FEB"/>
    <w:rsid w:val="009254A0"/>
    <w:rsid w:val="00926AAB"/>
    <w:rsid w:val="009276B8"/>
    <w:rsid w:val="0097173C"/>
    <w:rsid w:val="00977752"/>
    <w:rsid w:val="00982D71"/>
    <w:rsid w:val="009910A8"/>
    <w:rsid w:val="00992EC2"/>
    <w:rsid w:val="00997585"/>
    <w:rsid w:val="009D2146"/>
    <w:rsid w:val="009E3402"/>
    <w:rsid w:val="009E72CF"/>
    <w:rsid w:val="00A1760A"/>
    <w:rsid w:val="00A21F90"/>
    <w:rsid w:val="00A42AF7"/>
    <w:rsid w:val="00A63BE5"/>
    <w:rsid w:val="00A97C74"/>
    <w:rsid w:val="00AA7DFF"/>
    <w:rsid w:val="00AB6975"/>
    <w:rsid w:val="00AF0802"/>
    <w:rsid w:val="00AF3836"/>
    <w:rsid w:val="00B429E5"/>
    <w:rsid w:val="00B959D5"/>
    <w:rsid w:val="00BA19D8"/>
    <w:rsid w:val="00BC1683"/>
    <w:rsid w:val="00C223A4"/>
    <w:rsid w:val="00C22F95"/>
    <w:rsid w:val="00C65C63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60D38"/>
    <w:rsid w:val="00DB2BA9"/>
    <w:rsid w:val="00DC60B2"/>
    <w:rsid w:val="00E5056A"/>
    <w:rsid w:val="00E65363"/>
    <w:rsid w:val="00E763E3"/>
    <w:rsid w:val="00E841DF"/>
    <w:rsid w:val="00E966A9"/>
    <w:rsid w:val="00EA3102"/>
    <w:rsid w:val="00ED0E2F"/>
    <w:rsid w:val="00EE712D"/>
    <w:rsid w:val="00F04E7E"/>
    <w:rsid w:val="00F34FDA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15957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4</cp:revision>
  <dcterms:created xsi:type="dcterms:W3CDTF">2023-08-02T16:18:00Z</dcterms:created>
  <dcterms:modified xsi:type="dcterms:W3CDTF">2023-08-13T22:10:00Z</dcterms:modified>
</cp:coreProperties>
</file>