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367367" w:rsidP="00B329CC">
      <w:pPr>
        <w:jc w:val="center"/>
        <w:rPr>
          <w:b/>
          <w:sz w:val="24"/>
          <w:szCs w:val="18"/>
        </w:rPr>
      </w:pPr>
      <w:r w:rsidRPr="00124A6E">
        <w:rPr>
          <w:rFonts w:cs="Titillium-Thin"/>
          <w:b/>
          <w:sz w:val="24"/>
          <w:szCs w:val="24"/>
          <w:lang w:eastAsia="tr-TR"/>
        </w:rPr>
        <w:t xml:space="preserve">DİN KÜLTÜRÜ VE AHLAK BİLGİSİ </w:t>
      </w:r>
      <w:r w:rsidRPr="00124A6E">
        <w:rPr>
          <w:rFonts w:cs="Arial"/>
          <w:b/>
          <w:sz w:val="24"/>
          <w:szCs w:val="24"/>
        </w:rPr>
        <w:t xml:space="preserve">DERSİ </w:t>
      </w:r>
      <w:r w:rsidR="00A02BA9">
        <w:rPr>
          <w:b/>
          <w:sz w:val="24"/>
          <w:szCs w:val="18"/>
        </w:rPr>
        <w:t>10</w:t>
      </w:r>
      <w:bookmarkStart w:id="0" w:name="_GoBack"/>
      <w:bookmarkEnd w:id="0"/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985"/>
        <w:gridCol w:w="3544"/>
        <w:gridCol w:w="1417"/>
        <w:gridCol w:w="1843"/>
        <w:gridCol w:w="1512"/>
        <w:gridCol w:w="1525"/>
        <w:gridCol w:w="1397"/>
        <w:gridCol w:w="1036"/>
      </w:tblGrid>
      <w:tr w:rsidR="00C34809" w:rsidRPr="00116A3B" w:rsidTr="006F35EC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985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3544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41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8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512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A02BA9" w:rsidRPr="00A57E18" w:rsidTr="00F43CCD">
        <w:trPr>
          <w:trHeight w:val="2544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  <w:r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 xml:space="preserve"> </w:t>
            </w:r>
            <w:r w:rsidRPr="00EE0A51">
              <w:rPr>
                <w:rFonts w:cs="Titillium-Thin"/>
                <w:color w:val="0070C1"/>
                <w:sz w:val="18"/>
                <w:szCs w:val="18"/>
                <w:lang w:eastAsia="tr-TR"/>
              </w:rPr>
              <w:t>Anahtar Kavramlar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Esmâ</w:t>
            </w:r>
            <w:proofErr w:type="spellEnd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 xml:space="preserve">-i </w:t>
            </w:r>
            <w:proofErr w:type="spellStart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Hüsnâ</w:t>
            </w:r>
            <w:proofErr w:type="spellEnd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, tilavet, kıraat, dua, tövbe, istiğfar.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10.1.1. Allah inancının insan hayatındaki yeri ve önemini yorumlar.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Default="00A02BA9" w:rsidP="00A02BA9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A02BA9" w:rsidRPr="007A5FF4" w:rsidRDefault="00A02BA9" w:rsidP="00A02BA9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10.1.2. Allah’ın varlığı ve birliği konusunda akli ve naklî delilleri analiz eder.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>“Gaye ve nizam”, “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ekmel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varlık” delilleri ile sınırlandırılır.</w:t>
            </w: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10.1.3. İsim ve sıfatlarının yansımalarıyla Allah'ı tanır.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 xml:space="preserve">Allah’ın isim ve sıfatlarını kavramanın, O’nu tanımadaki önemine değinilir; isim ve sıfatların kâinatta tecellisi üzerinde durulur. İsim ve sıfatlar, Allah insan ilişkisi bağlamında; Bakara suresi 255. ayet,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Haşr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suresi 22-24. ayetler ve İhlâs suresi kapsamında işlenir.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OB7. Veri </w:t>
            </w:r>
            <w:proofErr w:type="gram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Okuryazarlığı  OB1</w:t>
            </w:r>
            <w:proofErr w:type="gramEnd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.Bilgi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10.1.3. İsim ve sıfatlarının yansımalarıyla Allah'ı tanır.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 xml:space="preserve">Allah’ın isim ve sıfatlarını kavramanın, O’nu tanımadaki önemine değinilir; isim ve sıfatların kâinatta tecellisi üzerinde durulur. İsim ve sıfatlar, Allah insan ilişkisi bağlamında; Bakara suresi 255. ayet,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Haşr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suresi 22-24. ayetler ve İhlâs suresi kapsamında işlenir.</w:t>
            </w: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10.1.4. İnsanın özelliklerini ayetlerle açıklar.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>Kazanım kapsamında insanın olumlu özellikleri öne çıkarılır.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10.1.5. İnsanın Allah ile irtibat yollarını fark eder.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>Kazanım; dua, ibadet, Kur’an okuma, tövbe ve istiğfar konuları ile sınırlandırılır.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>Allah ile insan arasındaki ilişkinin dayandığı temel ilkelere yer verilir; temel ilkeler Yaradan-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yaradılan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ilişkisi çerçevesinde ele alınır; Allah’ın “ilah” ve “rab” olma vasfının insan üzerindeki etkisine değinilir.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OB4. Görsel Okuryazarlık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 xml:space="preserve">10.1.6.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Rûm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suresi 18-27. ayetlerde verilen mesajları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>Kazanım; öğrencilerin Kur’an-ı Kerim mealini kullanma, Kur’an-ı Kerim’i anlama ve yorumlama, ayetlerde geçen şahıs, yer, konu ve kavramları belirleme becerilerini geliştirici etkinliklerle desteklenir. Bu kapsamda ayetlerin (nüzul sebebi, ana konuları gibi) kısa açıklamalarına öğrenci seviyesine göre yer verilir.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OB4. Görsel Okuryazarlık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A02BA9" w:rsidRPr="00A57E18" w:rsidTr="00F43CCD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A02BA9" w:rsidRPr="005F6A4E" w:rsidRDefault="00A02BA9" w:rsidP="00A02BA9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10.1. ALLAH İNSAN İLİŞKİSİ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 xml:space="preserve">10.1.6.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Rûm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suresi 18-27. ayetlerde verilen mesajları değerlendirir.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 </w:t>
            </w:r>
            <w:r w:rsidRPr="00EE0A51">
              <w:rPr>
                <w:rFonts w:cs="Arial"/>
                <w:iCs/>
                <w:sz w:val="18"/>
                <w:szCs w:val="18"/>
              </w:rPr>
              <w:t>Kazanım; öğrencilerin Kur’an-ı Kerim mealini kullanma, Kur’an-ı Kerim’i anlama ve yorumlama, ayetlerde geçen şahıs, yer, konu ve kavramları belirleme becerilerini geliştirici etkinliklerle desteklenir. Bu kapsamda ayetlerin (nüzul sebebi, ana konuları gibi) kısa açıklamalarına öğrenci seviyesine göre yer verilir.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OB4. Görsel Okuryazarlık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A02BA9" w:rsidRPr="007A5FF4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A02BA9" w:rsidRPr="007A5FF4" w:rsidRDefault="00A02BA9" w:rsidP="00A02BA9">
            <w:pPr>
              <w:spacing w:after="0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A02BA9" w:rsidRPr="005F6A4E" w:rsidRDefault="00A02BA9" w:rsidP="00A02BA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10.2. HZ. MUHAMMED VE GENÇLİK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color w:val="0070C1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color w:val="0070C1"/>
                <w:sz w:val="18"/>
                <w:szCs w:val="18"/>
                <w:lang w:eastAsia="tr-TR"/>
              </w:rPr>
              <w:t>Anahtar Kavramlar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sahabi</w:t>
            </w:r>
            <w:proofErr w:type="spellEnd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, âlim, el-emin, istişare.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>10.2.1. Kur’an-ı Kerim’den gençlerle ilgili ayetlere örnekler verir.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OB4. Görsel Okuryazarlık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A02BA9" w:rsidRPr="007A5FF4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A02BA9" w:rsidRPr="007A5FF4" w:rsidRDefault="00A02BA9" w:rsidP="00A02BA9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2E4CF9" w:rsidRDefault="00A02BA9" w:rsidP="00A02BA9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A02BA9" w:rsidRDefault="00A02BA9" w:rsidP="00A02BA9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A02BA9" w:rsidRPr="002E4CF9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A02BA9" w:rsidRDefault="00A02BA9" w:rsidP="00A02BA9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A02BA9" w:rsidRPr="005F6A4E" w:rsidRDefault="00A02BA9" w:rsidP="00A02BA9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10.2. HZ. MUHAMMED VE GENÇLİK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>10.2.2. Hz. Muhammed'in gençlik yıllarındaki erdemli davranışlarını kendi hayatıyla ilişkilendirir.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OB4. Görsel Okuryazarlık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2E4CF9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A02BA9" w:rsidRDefault="00A02BA9" w:rsidP="00A02BA9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A02BA9" w:rsidRPr="00A57E18" w:rsidTr="00F43CCD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10.2. HZ. MUHAMMED VE GENÇLİK</w:t>
            </w:r>
          </w:p>
          <w:p w:rsidR="00A02BA9" w:rsidRPr="00EE0A51" w:rsidRDefault="00A02BA9" w:rsidP="00A02BA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 xml:space="preserve">10.2.3. Hz. Muhammed ile genç </w:t>
            </w:r>
            <w:proofErr w:type="spellStart"/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>sahabiler</w:t>
            </w:r>
            <w:proofErr w:type="spellEnd"/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 xml:space="preserve"> arasındaki iletişimi değerlendirir.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OB4. Görsel Okuryazarlık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OB1. Bilgi </w:t>
            </w:r>
            <w:proofErr w:type="spellStart"/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OkuryazarlığI</w:t>
            </w:r>
            <w:proofErr w:type="spellEnd"/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10.2. HZ. MUHAMMED VE GENÇLİK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 xml:space="preserve">10.2.3. Hz. Muhammed ile genç </w:t>
            </w:r>
            <w:proofErr w:type="spellStart"/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>sahabiler</w:t>
            </w:r>
            <w:proofErr w:type="spellEnd"/>
            <w:r w:rsidRPr="00EE0A51">
              <w:rPr>
                <w:rFonts w:cs="Titillium-Thin"/>
                <w:b/>
                <w:sz w:val="18"/>
                <w:szCs w:val="18"/>
                <w:lang w:eastAsia="tr-TR"/>
              </w:rPr>
              <w:t xml:space="preserve"> arasındaki iletişimi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10.2. HZ. MUHAMMED VE GENÇLİK</w:t>
            </w:r>
          </w:p>
          <w:p w:rsidR="00A02BA9" w:rsidRPr="00EE0A51" w:rsidRDefault="00A02BA9" w:rsidP="00A02BA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 xml:space="preserve">10.2.4. Bazı genç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sahabilerin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öne çıkan özelliklerini örnek alır.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gramStart"/>
            <w:r w:rsidRPr="00EE0A51">
              <w:rPr>
                <w:rFonts w:cs="Arial"/>
                <w:sz w:val="18"/>
                <w:szCs w:val="18"/>
              </w:rPr>
              <w:t xml:space="preserve">** “Bilge ve Kahraman Bir Genç: Hz. Ali”, “Genç Bir Davetçi: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Erkam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 b.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Ebi’l-Erkam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”, “Genç Bir Öğretmen: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Mus'ab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 b.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Umeyr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”, “Genç Bir Komutan: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Üsame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 b.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Zeyd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”, “Genç Bir Yönetici: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Muaz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 b. Cebel”, “Genç Bir Âlim: Hz.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Aişe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”, “Genç Bir Anne: Hz. Fatıma”, “Sorumluluk Sahibi Bir Genç: Esma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bintiEbi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 xml:space="preserve"> Bekir”, “Habeş Kralının Huzurunda Bir Genç: Cafer b. </w:t>
            </w:r>
            <w:proofErr w:type="spellStart"/>
            <w:r w:rsidRPr="00EE0A51">
              <w:rPr>
                <w:rFonts w:cs="Arial"/>
                <w:sz w:val="18"/>
                <w:szCs w:val="18"/>
              </w:rPr>
              <w:t>EbiTalib</w:t>
            </w:r>
            <w:proofErr w:type="spellEnd"/>
            <w:r w:rsidRPr="00EE0A51">
              <w:rPr>
                <w:rFonts w:cs="Arial"/>
                <w:sz w:val="18"/>
                <w:szCs w:val="18"/>
              </w:rPr>
              <w:t>” konularına yer verilir.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10.2. HZ. MUHAMMED VE GENÇLİK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 xml:space="preserve">10.2.5.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Âl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-i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İmrân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suresi 159. ayette verilen mesajları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 xml:space="preserve">** Kazanım; öğrencilerin Kur’an-ı Kerim mealini kullanma, Kur’an-ı Kerim’i anlama ve yorumlama, ayetlerde geçen şahıs, yer, konu ve kavramları belirleme becerilerini geliştirici </w:t>
            </w:r>
            <w:r w:rsidRPr="00EE0A51">
              <w:rPr>
                <w:rFonts w:cs="Arial"/>
                <w:sz w:val="18"/>
                <w:szCs w:val="18"/>
              </w:rPr>
              <w:lastRenderedPageBreak/>
              <w:t>etkinliklerle desteklenir. Bu kapsamda ayetlerin (nüzul sebebi, ana konuları gibi) kısa açıklamalarına öğrenci seviyesine göre yer verilir.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lastRenderedPageBreak/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10.2. HZ. MUHAMMED VE GENÇLİK</w:t>
            </w:r>
          </w:p>
          <w:p w:rsidR="00A02BA9" w:rsidRPr="00EE0A51" w:rsidRDefault="00A02BA9" w:rsidP="00A02BA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 xml:space="preserve">10.2.5.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Âl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-i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İmrân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suresi 159. ayette verilen mesajları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 Kazanım; öğrencilerin Kur’an-ı Kerim mealini kullanma, Kur’an-ı Kerim’i anlama ve yorumlama, ayetlerde geçen şahıs, yer, konu ve kavramları belirleme becerilerini geliştirici etkinliklerle desteklenir. Bu kapsamda ayetlerin (nüzul sebebi, ana konuları gibi) kısa açıklamalarına öğrenci seviyesine göre yer verilir.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02BA9" w:rsidRPr="001E2D15" w:rsidRDefault="00A02BA9" w:rsidP="00A02BA9">
            <w:pPr>
              <w:spacing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10.3. DİN VE HAYAT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color w:val="0070C1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color w:val="0070C1"/>
                <w:sz w:val="18"/>
                <w:szCs w:val="18"/>
                <w:lang w:eastAsia="tr-TR"/>
              </w:rPr>
              <w:t>Anahtar Kavramlar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proofErr w:type="gramStart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din</w:t>
            </w:r>
            <w:proofErr w:type="gramEnd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, sanat, iktisat, sosyal değişim.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10.3.1. İslam dininin aile kurumuna verdiği önemi fark eder.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02BA9" w:rsidRPr="00A57E18" w:rsidTr="00F43CCD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A02BA9" w:rsidRPr="005F6A4E" w:rsidRDefault="00A02BA9" w:rsidP="00A02BA9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10.3. DİN VE HAYAT</w:t>
            </w:r>
          </w:p>
          <w:p w:rsidR="00A02BA9" w:rsidRPr="00EE0A51" w:rsidRDefault="00A02BA9" w:rsidP="00A02BA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10.3.2. İslam dininin kültür, sanat ve düşünce üzerindeki etkilerini analiz eder.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 xml:space="preserve">İslam dininin kültürel hayatımızın zenginleşmesindeki katkılarına ve İslam medeniyetinde öne çıkan sanat dallarına kısaca yer verilir. Ayrıca “ Eşyada asıl olan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ibahadır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>.” ilkesinin sanat alanında da geçerli olduğuna değinilir.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BE0480" w:rsidRDefault="00A02BA9" w:rsidP="00A02BA9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A02BA9" w:rsidRPr="00A57E18" w:rsidTr="00F43CCD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10.3. DİN VE HAYAT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10.3.3. İslam dininin çevre sorunlarına yaklaşımını ve çözüm önerilerini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OB4. Görsel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2E4CF9" w:rsidRDefault="00A02BA9" w:rsidP="00A02BA9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A02BA9" w:rsidRDefault="00A02BA9" w:rsidP="00A02BA9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A02BA9" w:rsidRPr="00BE0480" w:rsidRDefault="00A02BA9" w:rsidP="00A02BA9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A02BA9" w:rsidRPr="00BE0480" w:rsidRDefault="00A02BA9" w:rsidP="00A02BA9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A02BA9" w:rsidRPr="00A57E18" w:rsidTr="00F43CCD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A02BA9" w:rsidRPr="005F6A4E" w:rsidRDefault="00A02BA9" w:rsidP="00A02BA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A02BA9" w:rsidRPr="005F6A4E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10.3. DİN VE HAYAT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10.3.4. İslam dini ve sosyal değişim arasında ilişki kurar.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Dinin sabiteleri ve değişkenleri üzerinde durulur; bazı dinî hüküm ve yorumların zamana ve mekâna göre değişebileceğine değinilir.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OB2. Dijital OkuryazarlıkB7. Veri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2E4CF9" w:rsidRDefault="00A02BA9" w:rsidP="00A02BA9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A02BA9" w:rsidRPr="002E4CF9" w:rsidRDefault="00A02BA9" w:rsidP="00A02BA9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A02BA9" w:rsidRPr="007A5FF4" w:rsidRDefault="00A02BA9" w:rsidP="00A02BA9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A02BA9" w:rsidRPr="00A57E18" w:rsidTr="00F43CCD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10.3. DİN VE HAYAT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10.3.5. İslam dininin ekonomik hayatla ilgili ilkelerini yorumlar.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10.3. DİN VE HAYAT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10.3.6. İslam dininin sosyal adaletle ilgili ilkelerini açıklar.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A02BA9" w:rsidRPr="00C34809" w:rsidRDefault="00A02BA9" w:rsidP="00A02BA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C34809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A02BA9" w:rsidRPr="00C34809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10.3. DİN VE HAYAT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 xml:space="preserve">10.3.7.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Âl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-i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İmrân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suresi 103-105. ayetlerdeki mesajları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Kazanım; öğrencilerin Kur’an-ı Kerim mealini kullanma, Kur’an-ı Kerim’i anlama ve yorumlama, ayetlerde geçen şahıs, yer, konu ve kavramları belirleme becerilerini geliştirici etkinliklerle desteklenir. Bu kapsamda ayetlerin (nüzul sebebi, ana konuları gibi) kısa açıklamalarına öğrenci seviyesine göre yer verilir.</w:t>
            </w: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0B130C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A02BA9" w:rsidRPr="000B130C" w:rsidRDefault="00A02BA9" w:rsidP="00A02BA9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02BA9" w:rsidRPr="007A5FF4" w:rsidRDefault="00A02BA9" w:rsidP="00A02BA9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A02BA9" w:rsidRPr="000B130C" w:rsidRDefault="00A02BA9" w:rsidP="00A02BA9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2E4CF9" w:rsidRDefault="00A02BA9" w:rsidP="00A02BA9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A02BA9" w:rsidRPr="002E4CF9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A02BA9" w:rsidRPr="00A57E18" w:rsidTr="00F43CCD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A02BA9" w:rsidRPr="00C34809" w:rsidRDefault="00A02BA9" w:rsidP="00A02BA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C34809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A02BA9" w:rsidRPr="00C34809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10.4. AHLAKİ TUTUM VE DAVRANIŞLAR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color w:val="0070C1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color w:val="0070C1"/>
                <w:sz w:val="18"/>
                <w:szCs w:val="18"/>
                <w:lang w:eastAsia="tr-TR"/>
              </w:rPr>
              <w:t>Anahtar Kavramlar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gramStart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ahlak</w:t>
            </w:r>
            <w:proofErr w:type="gramEnd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, seciye, şahsiyet, karakter, terbiye.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10.4.1. İslam ahlakının konusu ve gayesini açıklar.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A02BA9" w:rsidRPr="007A5FF4" w:rsidRDefault="00A02BA9" w:rsidP="00A02BA9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A02BA9" w:rsidRPr="002E4CF9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A02BA9" w:rsidRDefault="00A02BA9" w:rsidP="00A02BA9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A02BA9" w:rsidRPr="007A5FF4" w:rsidRDefault="00A02BA9" w:rsidP="00A02BA9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A02BA9" w:rsidRPr="00A57E18" w:rsidTr="00F43CCD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10.4. AHLAKİ TUTUM VE DAVRANIŞLAR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10.4.2. Ahlak ile terbiye arasındaki ilişki kurar.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Duygu yönetimi, düşünce yönetimi, davranış yönetimi, irade yönetimi gibi konular ayet ve hadislerle ilişkilendirilerek ele alınır.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color w:val="FF0000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  <w:r w:rsidRPr="001E2D15">
              <w:rPr>
                <w:rFonts w:cs="Calibri"/>
                <w:color w:val="FF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A02BA9" w:rsidRPr="007A5FF4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A02BA9" w:rsidRPr="007A5FF4" w:rsidRDefault="00A02BA9" w:rsidP="00A02BA9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10.4. AHLAKİ TUTUM VE DAVRANIŞLAR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10.4.3. İslam ahlakında yerilen bazı davranışları ayet ve hadislerle açıklar.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Kazanım kapsamında yalan ve iftira, mahremiyetin ihlali (tecessüs), gıybet, haset, suizan, hile ve israf konularına değinilir.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OB1. Bilgi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02BA9" w:rsidRPr="00A57E18" w:rsidTr="00F43CCD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10.4. AHLAKİ TUTUM VE DAVRANIŞLAR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Öğrencilerin İslam ahlakında yerilen bazı davranışların, bireysel ve toplumsal zararlarını değerlendirmelerine yönelik etkinliklere yer verilir.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10.4. AHLAKİ TUTUM VE DAVRANIŞLAR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10.4.4.Tutum ve davranışlarında ölçülü olmaya özen gösterir.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10.4. AHLAKİ TUTUM VE DAVRANIŞLAR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 xml:space="preserve">10.4.5.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Hucurât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suresi 11-12. ayetlerde verilen mesajları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 xml:space="preserve">Kazanım; öğrencilerin Kur’an-ı Kerim mealini kullanma, Kur’an-ı Kerim’i anlama ve yorumlama, ayetlerde geçen şahıs, yer, konu ve kavramları belirleme becerilerini geliştirici etkinliklerle desteklenir. Bu kapsamda </w:t>
            </w:r>
            <w:r w:rsidRPr="00EE0A51">
              <w:rPr>
                <w:rFonts w:cs="Arial"/>
                <w:iCs/>
                <w:sz w:val="18"/>
                <w:szCs w:val="18"/>
              </w:rPr>
              <w:lastRenderedPageBreak/>
              <w:t>ayetlerin (nüzul sebebi, ana konuları gibi) kısa açıklamalarına öğrenci seviyesine göre yer verilir.</w:t>
            </w: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lastRenderedPageBreak/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autoSpaceDE w:val="0"/>
              <w:autoSpaceDN w:val="0"/>
              <w:adjustRightInd w:val="0"/>
              <w:spacing w:after="0" w:line="240" w:lineRule="auto"/>
              <w:rPr>
                <w:rFonts w:cs="Titillium-Thin"/>
                <w:color w:val="0070C1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color w:val="0070C1"/>
                <w:sz w:val="18"/>
                <w:szCs w:val="18"/>
                <w:lang w:eastAsia="tr-TR"/>
              </w:rPr>
              <w:t>Anahtar Kavramlar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itikad</w:t>
            </w:r>
            <w:proofErr w:type="spellEnd"/>
            <w:r w:rsidRPr="00EE0A51">
              <w:rPr>
                <w:rFonts w:cs="Titillium-ThinItalic"/>
                <w:iCs/>
                <w:sz w:val="18"/>
                <w:szCs w:val="18"/>
                <w:lang w:eastAsia="tr-TR"/>
              </w:rPr>
              <w:t>, mezhep, fırka, tevil.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10.5.1. Din ve dinin yorumu arasındaki farkı ayırt eder.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Dinin farklı yorum biçimleri olabileceğine vurgu yapılır; dinin yanlış yorumlanmasından doğan sorunların, dinin kendisinden kaynaklanmadığına değinilir.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0B130C" w:rsidRDefault="00A02BA9" w:rsidP="00A02BA9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6F35EC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Din anlayışındaki yorum farklılıklarının sebepleri düzeye uygun bir biçimde ayrıntıya girilmeden ele alınır.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10.5.2. İslam düşüncesindeki yorum farklılıklarının sebeplerini tartışır.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Yorum farklılıkları; insan unsuru; sosyal, siyasi, kültürel ve coğrafi ortam ile dinî metinlere yaklaşım ve onları yorumlama farklılıklarından kaynaklanan sebepler ile sınırlandırılır.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6F35EC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10.5.3. Dinî yorumlarla ilgili bazı kavramları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İtikad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>, fıkıh, mezhep ve fırka kavramları öğrencilerin seviyeleri ve kültürel altyapıları göz önünde bulundurularak ele alınır.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Default="00A02BA9" w:rsidP="00A02BA9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A02BA9" w:rsidRPr="000B130C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A02BA9" w:rsidRPr="000B130C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02BA9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A02BA9" w:rsidRPr="000B130C" w:rsidRDefault="00A02BA9" w:rsidP="00A02BA9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A02BA9" w:rsidRPr="000B130C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lastRenderedPageBreak/>
              <w:t xml:space="preserve">10.5.4. İslam düşüncesinde </w:t>
            </w:r>
            <w:proofErr w:type="spellStart"/>
            <w:r w:rsidRPr="00EE0A51">
              <w:rPr>
                <w:rFonts w:cs="Arial"/>
                <w:b/>
                <w:sz w:val="18"/>
                <w:szCs w:val="18"/>
              </w:rPr>
              <w:t>itikadi</w:t>
            </w:r>
            <w:proofErr w:type="spellEnd"/>
            <w:r w:rsidRPr="00EE0A51">
              <w:rPr>
                <w:rFonts w:cs="Arial"/>
                <w:b/>
                <w:sz w:val="18"/>
                <w:szCs w:val="18"/>
              </w:rPr>
              <w:t xml:space="preserve"> ve siyasi yorumları genel özelliklerine göre sınıflandırır.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lastRenderedPageBreak/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 xml:space="preserve">Kazanım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Ehl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>-i sünnet (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Eşarilik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ve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Maturidilik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>) ve Şia (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İmamiye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ve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Zeydiye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>) ile sınırlandırılır.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lastRenderedPageBreak/>
              <w:t>Çalışma Yaprağı, Açık Uçlu Sorular, Öğrenme Günlüğü, Performans Görevi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A02BA9" w:rsidRPr="001A5A4F" w:rsidRDefault="00A02BA9" w:rsidP="00A02BA9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A02BA9" w:rsidRPr="007A5FF4" w:rsidRDefault="00A02BA9" w:rsidP="00A02BA9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10.5.5. İslam düşüncesindeki amelî fıkhi yorumları tanır.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 xml:space="preserve">İslam düşüncesindeki amelî fıkhi yorumlarda; Hanefilik, Malikilik, Şafiilik ve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Hanbelilik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mezheplerine yer verilir. Ayrıca Caferilik mezhebine de değinilir, bu mezhebin </w:t>
            </w:r>
            <w:proofErr w:type="spellStart"/>
            <w:r w:rsidRPr="00EE0A51">
              <w:rPr>
                <w:rFonts w:cs="Arial"/>
                <w:iCs/>
                <w:sz w:val="18"/>
                <w:szCs w:val="18"/>
              </w:rPr>
              <w:t>İmamiyeŞiası’nın</w:t>
            </w:r>
            <w:proofErr w:type="spellEnd"/>
            <w:r w:rsidRPr="00EE0A51">
              <w:rPr>
                <w:rFonts w:cs="Arial"/>
                <w:iCs/>
                <w:sz w:val="18"/>
                <w:szCs w:val="18"/>
              </w:rPr>
              <w:t xml:space="preserve"> ameli/fıkhi yorumu olduğuna vurgu yapılır.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 xml:space="preserve">Çalışma Yaprağı, Açık Uçlu Sorular, Öğrenme Günlüğü, Performans Görevi 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A02BA9" w:rsidRPr="00A57E18" w:rsidTr="00F43CCD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A02BA9" w:rsidRPr="00EB710C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10.5.6. Nisâ suresi 59. ayette verilen mesajları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Kazanım; öğrencilerin Kur’an-ı Kerim mealini kullanma, Kur’an-ı Kerim’i anlama ve yorumlama, ayetlerde geçen şahıs, yer, konu ve kavramları belirleme becerilerini geliştirici etkinliklerle desteklenir. Bu kapsamda ayetlerin (nüzul sebebi, ana konuları gibi) kısa açıklamalarına öğrenci seviyesine göre yer verilir.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F43CCD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</w:pPr>
            <w:r w:rsidRPr="00EE0A51">
              <w:rPr>
                <w:rFonts w:cs="Titillium-Thin"/>
                <w:b/>
                <w:color w:val="FF0000"/>
                <w:sz w:val="18"/>
                <w:szCs w:val="18"/>
                <w:lang w:eastAsia="tr-TR"/>
              </w:rPr>
              <w:t>10.5. İSLAM DÜŞÜNCESİNDE İTİKADİ, SİYASİ VE FIKHİ YORUMLAR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02BA9" w:rsidRPr="00EE0A51" w:rsidRDefault="00A02BA9" w:rsidP="00A02BA9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EE0A51">
              <w:rPr>
                <w:rFonts w:cs="Arial"/>
                <w:b/>
                <w:sz w:val="18"/>
                <w:szCs w:val="18"/>
              </w:rPr>
              <w:t>10.5.6. Nisâ suresi 59. ayette verilen mesajları değerlendirir.</w:t>
            </w:r>
          </w:p>
          <w:p w:rsidR="00A02BA9" w:rsidRPr="00EE0A51" w:rsidRDefault="00A02BA9" w:rsidP="00A02BA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E0A51">
              <w:rPr>
                <w:rFonts w:cs="Arial"/>
                <w:sz w:val="18"/>
                <w:szCs w:val="18"/>
              </w:rPr>
              <w:t>**</w:t>
            </w:r>
            <w:r w:rsidRPr="00EE0A51">
              <w:rPr>
                <w:rFonts w:cs="Arial"/>
                <w:iCs/>
                <w:sz w:val="18"/>
                <w:szCs w:val="18"/>
              </w:rPr>
              <w:t>Kazanım; öğrencilerin Kur’an-ı Kerim mealini kullanma, Kur’an-ı Kerim’i anlama ve yorumlama, ayetlerde geçen şahıs, yer, konu ve kavramları belirleme becerilerini geliştirici etkinliklerle desteklenir. Bu kapsamda ayetlerin (nüzul sebebi, ana konuları gibi) kısa açıklamalarına öğrenci seviyesine göre yer verilir.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rFonts w:cs="Calibri"/>
                <w:sz w:val="16"/>
                <w:szCs w:val="16"/>
                <w:lang w:eastAsia="tr-TR"/>
              </w:rPr>
            </w:pPr>
            <w:r w:rsidRPr="001E2D15">
              <w:rPr>
                <w:rFonts w:cs="Calibri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843" w:type="dxa"/>
            <w:vAlign w:val="center"/>
          </w:tcPr>
          <w:p w:rsidR="00A02BA9" w:rsidRPr="001E2D15" w:rsidRDefault="00A02BA9" w:rsidP="00A02BA9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Default="00A02BA9" w:rsidP="00A02BA9">
            <w:r w:rsidRPr="0041792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A02BA9" w:rsidRPr="00A57E18" w:rsidTr="006F35EC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A02BA9" w:rsidRPr="007A5FF4" w:rsidRDefault="00A02BA9" w:rsidP="00A02BA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A02BA9" w:rsidRPr="007A5FF4" w:rsidRDefault="00A02BA9" w:rsidP="00A02BA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985" w:type="dxa"/>
            <w:vAlign w:val="center"/>
          </w:tcPr>
          <w:p w:rsidR="00A02BA9" w:rsidRPr="00436A0B" w:rsidRDefault="00A02BA9" w:rsidP="00A02BA9">
            <w:pPr>
              <w:pStyle w:val="AralkYok"/>
              <w:rPr>
                <w:rFonts w:asciiTheme="minorHAnsi" w:hAnsiTheme="minorHAnsi" w:cstheme="minorHAnsi"/>
                <w:b/>
                <w:sz w:val="16"/>
                <w:szCs w:val="16"/>
                <w:lang w:eastAsia="tr-TR"/>
              </w:rPr>
            </w:pPr>
            <w:r w:rsidRPr="00436A0B">
              <w:rPr>
                <w:rFonts w:asciiTheme="minorHAnsi" w:hAnsiTheme="minorHAnsi" w:cstheme="minorHAnsi"/>
                <w:b/>
                <w:sz w:val="16"/>
                <w:szCs w:val="16"/>
              </w:rPr>
              <w:t>Yıl Sonu Faaliyet</w:t>
            </w:r>
          </w:p>
        </w:tc>
        <w:tc>
          <w:tcPr>
            <w:tcW w:w="3544" w:type="dxa"/>
            <w:vAlign w:val="center"/>
          </w:tcPr>
          <w:p w:rsidR="00A02BA9" w:rsidRPr="00436A0B" w:rsidRDefault="00A02BA9" w:rsidP="00A02BA9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  <w:lang w:eastAsia="tr-TR"/>
              </w:rPr>
            </w:pPr>
            <w:r w:rsidRPr="00436A0B">
              <w:rPr>
                <w:rFonts w:cstheme="minorHAnsi"/>
                <w:b/>
                <w:sz w:val="16"/>
                <w:szCs w:val="16"/>
              </w:rPr>
              <w:t xml:space="preserve">Okul Ve </w:t>
            </w:r>
            <w:proofErr w:type="spellStart"/>
            <w:r w:rsidRPr="00436A0B">
              <w:rPr>
                <w:rFonts w:cstheme="minorHAnsi"/>
                <w:b/>
                <w:sz w:val="16"/>
                <w:szCs w:val="16"/>
              </w:rPr>
              <w:t>Meb</w:t>
            </w:r>
            <w:proofErr w:type="spellEnd"/>
            <w:r w:rsidRPr="00436A0B">
              <w:rPr>
                <w:rFonts w:cstheme="minorHAnsi"/>
                <w:b/>
                <w:sz w:val="16"/>
                <w:szCs w:val="16"/>
              </w:rPr>
              <w:t xml:space="preserve"> Tarafından Belirlenen Faaliyetlerin Uygulanması</w:t>
            </w:r>
          </w:p>
        </w:tc>
        <w:tc>
          <w:tcPr>
            <w:tcW w:w="1417" w:type="dxa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cs="Calibri"/>
                <w:sz w:val="14"/>
                <w:szCs w:val="1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cs="Calibri"/>
                <w:sz w:val="14"/>
                <w:szCs w:val="14"/>
                <w:lang w:eastAsia="tr-TR"/>
              </w:rPr>
            </w:pPr>
            <w:r>
              <w:rPr>
                <w:rFonts w:cs="Calibri"/>
                <w:sz w:val="14"/>
                <w:szCs w:val="14"/>
                <w:lang w:eastAsia="tr-TR"/>
              </w:rPr>
              <w:t>Gösteri Drama</w:t>
            </w:r>
          </w:p>
        </w:tc>
        <w:tc>
          <w:tcPr>
            <w:tcW w:w="1512" w:type="dxa"/>
            <w:vAlign w:val="center"/>
          </w:tcPr>
          <w:p w:rsidR="00A02BA9" w:rsidRPr="00A57E18" w:rsidRDefault="00A02BA9" w:rsidP="00A02B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A02BA9" w:rsidRPr="007A5FF4" w:rsidRDefault="00A02BA9" w:rsidP="00A02BA9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A02BA9" w:rsidRPr="007A5FF4" w:rsidRDefault="00A02BA9" w:rsidP="00A02BA9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367367" w:rsidRPr="003D4863" w:rsidRDefault="00367367" w:rsidP="00367367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lastRenderedPageBreak/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367367" w:rsidRPr="003D4863" w:rsidRDefault="00367367" w:rsidP="00367367">
      <w:pPr>
        <w:spacing w:after="0"/>
        <w:rPr>
          <w:sz w:val="24"/>
          <w:szCs w:val="18"/>
        </w:rPr>
      </w:pPr>
      <w:r w:rsidRPr="00230919">
        <w:rPr>
          <w:rFonts w:cs="Titillium-Thin"/>
          <w:sz w:val="24"/>
          <w:szCs w:val="24"/>
          <w:lang w:eastAsia="tr-TR"/>
        </w:rPr>
        <w:t xml:space="preserve">Din Kültürü Ve Ahlak Bilgisi </w:t>
      </w:r>
      <w:r w:rsidRPr="00230919">
        <w:rPr>
          <w:rFonts w:cs="Arial"/>
          <w:sz w:val="24"/>
          <w:szCs w:val="24"/>
        </w:rPr>
        <w:t>Dersi</w:t>
      </w:r>
      <w:r>
        <w:rPr>
          <w:sz w:val="24"/>
          <w:szCs w:val="18"/>
        </w:rPr>
        <w:t xml:space="preserve"> </w:t>
      </w:r>
      <w:r w:rsidRPr="003D4863">
        <w:rPr>
          <w:sz w:val="24"/>
          <w:szCs w:val="18"/>
        </w:rPr>
        <w:t xml:space="preserve">Öğretmeni                                    </w:t>
      </w:r>
      <w:r>
        <w:rPr>
          <w:sz w:val="24"/>
          <w:szCs w:val="18"/>
        </w:rPr>
        <w:t xml:space="preserve">                                            07</w:t>
      </w:r>
      <w:r w:rsidRPr="003D4863">
        <w:rPr>
          <w:sz w:val="24"/>
          <w:szCs w:val="18"/>
        </w:rPr>
        <w:t>/0</w:t>
      </w:r>
      <w:r>
        <w:rPr>
          <w:sz w:val="24"/>
          <w:szCs w:val="18"/>
        </w:rPr>
        <w:t>9</w:t>
      </w:r>
      <w:r w:rsidRPr="003D4863">
        <w:rPr>
          <w:sz w:val="24"/>
          <w:szCs w:val="18"/>
        </w:rPr>
        <w:t>/20</w:t>
      </w:r>
      <w:r>
        <w:rPr>
          <w:sz w:val="24"/>
          <w:szCs w:val="18"/>
        </w:rPr>
        <w:t>26</w:t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</w:p>
    <w:p w:rsidR="00367367" w:rsidRPr="003D4863" w:rsidRDefault="00367367" w:rsidP="00367367">
      <w:pPr>
        <w:spacing w:after="0"/>
        <w:rPr>
          <w:sz w:val="24"/>
          <w:szCs w:val="18"/>
        </w:rPr>
      </w:pPr>
    </w:p>
    <w:p w:rsidR="00367367" w:rsidRPr="003D4863" w:rsidRDefault="00367367" w:rsidP="00367367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367367" w:rsidRDefault="00367367" w:rsidP="00367367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A02BA9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-Thin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Titillium-ThinItalic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367367"/>
    <w:rsid w:val="006F35EC"/>
    <w:rsid w:val="00805487"/>
    <w:rsid w:val="00A02BA9"/>
    <w:rsid w:val="00A3254B"/>
    <w:rsid w:val="00A509F0"/>
    <w:rsid w:val="00A57E18"/>
    <w:rsid w:val="00A85529"/>
    <w:rsid w:val="00B329CC"/>
    <w:rsid w:val="00B457B4"/>
    <w:rsid w:val="00C34809"/>
    <w:rsid w:val="00CB1011"/>
    <w:rsid w:val="00CF6E69"/>
    <w:rsid w:val="00D140EC"/>
    <w:rsid w:val="00EB355F"/>
    <w:rsid w:val="00EB710C"/>
    <w:rsid w:val="00E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9359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2026-08-12T10:13:00Z</dcterms:created>
  <dcterms:modified xsi:type="dcterms:W3CDTF">2026-08-12T10:13:00Z</dcterms:modified>
</cp:coreProperties>
</file>